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62859" w14:textId="77777777" w:rsidR="00E44E0D" w:rsidRDefault="00E44E0D" w:rsidP="00E44E0D">
      <w:pPr>
        <w:tabs>
          <w:tab w:val="left" w:pos="5385"/>
        </w:tabs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860EE6">
        <w:rPr>
          <w:rFonts w:ascii="Times New Roman" w:hAnsi="Times New Roman"/>
          <w:b/>
          <w:sz w:val="28"/>
          <w:szCs w:val="24"/>
        </w:rPr>
        <w:t xml:space="preserve">Proposition </w:t>
      </w:r>
      <w:r w:rsidRPr="00996B62">
        <w:rPr>
          <w:rFonts w:ascii="Times New Roman" w:hAnsi="Times New Roman"/>
          <w:b/>
          <w:sz w:val="28"/>
          <w:szCs w:val="24"/>
        </w:rPr>
        <w:t>d’agenda</w:t>
      </w:r>
    </w:p>
    <w:p w14:paraId="6F869F4B" w14:textId="77777777" w:rsidR="00FE3AD0" w:rsidRDefault="00FE3AD0" w:rsidP="00E44E0D">
      <w:pPr>
        <w:tabs>
          <w:tab w:val="left" w:pos="5385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Pour la </w:t>
      </w:r>
      <w:r w:rsidRPr="00FE3AD0">
        <w:rPr>
          <w:rFonts w:ascii="Times New Roman" w:hAnsi="Times New Roman"/>
          <w:b/>
          <w:sz w:val="28"/>
          <w:szCs w:val="24"/>
        </w:rPr>
        <w:t>formation du secteur privé, impliqué dans la mise en œuvre et le développement de projets bancables</w:t>
      </w:r>
    </w:p>
    <w:p w14:paraId="1A99EC98" w14:textId="5F1FE7B8" w:rsidR="00E44E0D" w:rsidRDefault="004F01FD" w:rsidP="00FE3AD0">
      <w:pPr>
        <w:tabs>
          <w:tab w:val="left" w:pos="5385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</w:t>
      </w:r>
      <w:r w:rsidR="00FE3AD0">
        <w:rPr>
          <w:rFonts w:ascii="Times New Roman" w:hAnsi="Times New Roman"/>
          <w:b/>
          <w:sz w:val="28"/>
          <w:szCs w:val="24"/>
        </w:rPr>
        <w:t>.0</w:t>
      </w:r>
      <w:r>
        <w:rPr>
          <w:rFonts w:ascii="Times New Roman" w:hAnsi="Times New Roman"/>
          <w:b/>
          <w:sz w:val="28"/>
          <w:szCs w:val="24"/>
        </w:rPr>
        <w:t>4</w:t>
      </w:r>
      <w:r w:rsidR="00FE3AD0">
        <w:rPr>
          <w:rFonts w:ascii="Times New Roman" w:hAnsi="Times New Roman"/>
          <w:b/>
          <w:sz w:val="28"/>
          <w:szCs w:val="24"/>
        </w:rPr>
        <w:t>.2018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E44E0D" w14:paraId="60DFE3E5" w14:textId="77777777" w:rsidTr="001B470D">
        <w:tc>
          <w:tcPr>
            <w:tcW w:w="1696" w:type="dxa"/>
            <w:shd w:val="clear" w:color="auto" w:fill="DEEAF6"/>
          </w:tcPr>
          <w:p w14:paraId="1E164FDF" w14:textId="77777777" w:rsidR="00E44E0D" w:rsidRPr="005E3380" w:rsidRDefault="00E44E0D" w:rsidP="001B470D">
            <w:pPr>
              <w:tabs>
                <w:tab w:val="left" w:pos="12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E3380">
              <w:rPr>
                <w:rFonts w:ascii="Times New Roman" w:hAnsi="Times New Roman"/>
                <w:b/>
                <w:sz w:val="24"/>
                <w:szCs w:val="24"/>
              </w:rPr>
              <w:t>Horaire</w:t>
            </w:r>
          </w:p>
        </w:tc>
        <w:tc>
          <w:tcPr>
            <w:tcW w:w="7366" w:type="dxa"/>
            <w:shd w:val="clear" w:color="auto" w:fill="DEEAF6"/>
          </w:tcPr>
          <w:p w14:paraId="5902F0E2" w14:textId="77777777" w:rsidR="00E44E0D" w:rsidRPr="005E3380" w:rsidRDefault="00E44E0D" w:rsidP="001B470D">
            <w:pPr>
              <w:tabs>
                <w:tab w:val="center" w:pos="3575"/>
                <w:tab w:val="left" w:pos="5385"/>
                <w:tab w:val="left" w:pos="5472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 w:rsidRPr="005E3380">
              <w:rPr>
                <w:rFonts w:ascii="Times New Roman" w:hAnsi="Times New Roman"/>
                <w:b/>
                <w:sz w:val="28"/>
                <w:szCs w:val="24"/>
              </w:rPr>
              <w:tab/>
              <w:t>Interventions</w:t>
            </w:r>
            <w:r w:rsidRPr="005E3380"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 w:rsidRPr="005E3380">
              <w:rPr>
                <w:rFonts w:ascii="Times New Roman" w:hAnsi="Times New Roman"/>
                <w:b/>
                <w:sz w:val="28"/>
                <w:szCs w:val="24"/>
              </w:rPr>
              <w:tab/>
            </w:r>
          </w:p>
        </w:tc>
      </w:tr>
      <w:tr w:rsidR="00E44E0D" w14:paraId="6D4B205B" w14:textId="77777777" w:rsidTr="001B470D">
        <w:tc>
          <w:tcPr>
            <w:tcW w:w="1696" w:type="dxa"/>
            <w:shd w:val="clear" w:color="auto" w:fill="DEEAF6"/>
          </w:tcPr>
          <w:p w14:paraId="0836A136" w14:textId="77777777" w:rsidR="00E44E0D" w:rsidRPr="005E3380" w:rsidRDefault="00FE3AD0" w:rsidP="001B470D">
            <w:pPr>
              <w:tabs>
                <w:tab w:val="left" w:pos="53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08 : 30 – 09 :0</w:t>
            </w:r>
            <w:r w:rsidR="00E44E0D" w:rsidRPr="005E3380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366" w:type="dxa"/>
          </w:tcPr>
          <w:p w14:paraId="32D34000" w14:textId="77777777" w:rsidR="00E44E0D" w:rsidRPr="005E3380" w:rsidRDefault="00E44E0D" w:rsidP="001B470D">
            <w:pPr>
              <w:tabs>
                <w:tab w:val="left" w:pos="5385"/>
              </w:tabs>
              <w:rPr>
                <w:rFonts w:ascii="Times New Roman" w:hAnsi="Times New Roman"/>
                <w:b/>
                <w:szCs w:val="24"/>
              </w:rPr>
            </w:pPr>
            <w:r w:rsidRPr="005E3380">
              <w:rPr>
                <w:rFonts w:ascii="Times New Roman" w:hAnsi="Times New Roman"/>
                <w:b/>
                <w:szCs w:val="24"/>
              </w:rPr>
              <w:t>Accueil des participants et inscription</w:t>
            </w:r>
          </w:p>
        </w:tc>
      </w:tr>
      <w:tr w:rsidR="00E44E0D" w14:paraId="29ED83A1" w14:textId="77777777" w:rsidTr="001B470D">
        <w:tc>
          <w:tcPr>
            <w:tcW w:w="1696" w:type="dxa"/>
            <w:shd w:val="clear" w:color="auto" w:fill="DEEAF6"/>
          </w:tcPr>
          <w:p w14:paraId="76253386" w14:textId="77777777" w:rsidR="00E44E0D" w:rsidRPr="005E3380" w:rsidRDefault="00E44E0D" w:rsidP="001B470D">
            <w:pPr>
              <w:tabs>
                <w:tab w:val="left" w:pos="53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0C368E40" w14:textId="77777777" w:rsidR="00E44E0D" w:rsidRPr="005E3380" w:rsidRDefault="00FE3AD0" w:rsidP="001B470D">
            <w:pPr>
              <w:tabs>
                <w:tab w:val="left" w:pos="53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09 :00 – 09 :15</w:t>
            </w:r>
          </w:p>
        </w:tc>
        <w:tc>
          <w:tcPr>
            <w:tcW w:w="7366" w:type="dxa"/>
          </w:tcPr>
          <w:p w14:paraId="23FBD663" w14:textId="77777777" w:rsidR="00E44E0D" w:rsidRPr="005E3380" w:rsidRDefault="00E44E0D" w:rsidP="001B470D">
            <w:pPr>
              <w:tabs>
                <w:tab w:val="left" w:pos="538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3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Allocution d’ouverture</w:t>
            </w:r>
          </w:p>
          <w:p w14:paraId="0F5C6318" w14:textId="77777777" w:rsidR="00E44E0D" w:rsidRPr="00FE3AD0" w:rsidRDefault="00FE3AD0" w:rsidP="00FE3AD0">
            <w:pPr>
              <w:pStyle w:val="Paragrafoelenco"/>
              <w:numPr>
                <w:ilvl w:val="0"/>
                <w:numId w:val="1"/>
              </w:numPr>
              <w:tabs>
                <w:tab w:val="left" w:pos="5385"/>
              </w:tabs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CSE</w:t>
            </w:r>
          </w:p>
          <w:p w14:paraId="66523C00" w14:textId="77777777" w:rsidR="00E44E0D" w:rsidRPr="005E3380" w:rsidRDefault="00E44E0D" w:rsidP="001B470D">
            <w:pPr>
              <w:pStyle w:val="Paragrafoelenco"/>
              <w:numPr>
                <w:ilvl w:val="0"/>
                <w:numId w:val="1"/>
              </w:numPr>
              <w:tabs>
                <w:tab w:val="left" w:pos="5385"/>
              </w:tabs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5E3380">
              <w:rPr>
                <w:rFonts w:ascii="Times New Roman" w:hAnsi="Times New Roman"/>
                <w:sz w:val="22"/>
                <w:szCs w:val="24"/>
                <w:lang w:eastAsia="en-US"/>
              </w:rPr>
              <w:t>Ministre de l’Environnement</w:t>
            </w:r>
            <w:r w:rsidRPr="00860EE6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et du développement Durable</w:t>
            </w:r>
          </w:p>
          <w:p w14:paraId="7BD4B33F" w14:textId="77777777" w:rsidR="00E44E0D" w:rsidRPr="005E3380" w:rsidRDefault="00E44E0D" w:rsidP="001B470D">
            <w:pPr>
              <w:tabs>
                <w:tab w:val="left" w:pos="5385"/>
              </w:tabs>
              <w:rPr>
                <w:rFonts w:ascii="Times New Roman" w:hAnsi="Times New Roman"/>
                <w:b/>
                <w:szCs w:val="24"/>
              </w:rPr>
            </w:pPr>
            <w:r w:rsidRPr="005E3380">
              <w:rPr>
                <w:rFonts w:ascii="Times New Roman" w:hAnsi="Times New Roman"/>
                <w:b/>
                <w:szCs w:val="24"/>
              </w:rPr>
              <w:t>Présentation des termes de référence et agenda de l’atelier</w:t>
            </w:r>
          </w:p>
        </w:tc>
      </w:tr>
      <w:tr w:rsidR="00E44E0D" w14:paraId="1CF27995" w14:textId="77777777" w:rsidTr="001B470D">
        <w:tc>
          <w:tcPr>
            <w:tcW w:w="1696" w:type="dxa"/>
            <w:shd w:val="clear" w:color="auto" w:fill="DEEAF6"/>
          </w:tcPr>
          <w:p w14:paraId="17DF8830" w14:textId="77777777" w:rsidR="00E44E0D" w:rsidRPr="005E3380" w:rsidRDefault="00E44E0D" w:rsidP="001B470D">
            <w:pPr>
              <w:tabs>
                <w:tab w:val="left" w:pos="5385"/>
              </w:tabs>
              <w:rPr>
                <w:rFonts w:ascii="Times New Roman" w:hAnsi="Times New Roman"/>
                <w:b/>
                <w:sz w:val="14"/>
                <w:szCs w:val="24"/>
              </w:rPr>
            </w:pPr>
          </w:p>
          <w:p w14:paraId="757864F6" w14:textId="77777777" w:rsidR="00E44E0D" w:rsidRPr="005E3380" w:rsidRDefault="00FE3AD0" w:rsidP="001B470D">
            <w:pPr>
              <w:tabs>
                <w:tab w:val="left" w:pos="538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09:15 – 13:00</w:t>
            </w:r>
          </w:p>
        </w:tc>
        <w:tc>
          <w:tcPr>
            <w:tcW w:w="7366" w:type="dxa"/>
          </w:tcPr>
          <w:p w14:paraId="26C6352B" w14:textId="77777777" w:rsidR="00E44E0D" w:rsidRPr="005E3380" w:rsidRDefault="00FE3AD0" w:rsidP="001B470D">
            <w:pPr>
              <w:tabs>
                <w:tab w:val="left" w:pos="5385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formation pour le</w:t>
            </w:r>
            <w:r w:rsidRPr="00FE3AD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secteur privé, impliqué dans la mise en œuvre et le développement de projets bancables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 : </w:t>
            </w:r>
          </w:p>
        </w:tc>
      </w:tr>
      <w:tr w:rsidR="00FE3AD0" w14:paraId="6FFE8586" w14:textId="77777777" w:rsidTr="001B470D">
        <w:tc>
          <w:tcPr>
            <w:tcW w:w="1696" w:type="dxa"/>
            <w:shd w:val="clear" w:color="auto" w:fill="DEEAF6"/>
          </w:tcPr>
          <w:p w14:paraId="1D2EFD22" w14:textId="77777777" w:rsidR="00FE3AD0" w:rsidRPr="00FE3AD0" w:rsidRDefault="00FE3AD0" w:rsidP="00FE3AD0">
            <w:pPr>
              <w:rPr>
                <w:b/>
              </w:rPr>
            </w:pPr>
            <w:r w:rsidRPr="00FE3AD0">
              <w:rPr>
                <w:b/>
              </w:rPr>
              <w:t>09 :15-10.45</w:t>
            </w:r>
          </w:p>
        </w:tc>
        <w:tc>
          <w:tcPr>
            <w:tcW w:w="7366" w:type="dxa"/>
          </w:tcPr>
          <w:p w14:paraId="2EB1B714" w14:textId="77777777" w:rsidR="00E349FB" w:rsidRPr="002740B8" w:rsidRDefault="00E349FB" w:rsidP="00E349FB">
            <w:pPr>
              <w:pStyle w:val="Nessunaspaziatura"/>
              <w:numPr>
                <w:ilvl w:val="0"/>
                <w:numId w:val="2"/>
              </w:numPr>
            </w:pPr>
            <w:r w:rsidRPr="002740B8">
              <w:t xml:space="preserve">Présenter les instruments financiers du FVC et leurs modalités d’accès </w:t>
            </w:r>
          </w:p>
          <w:p w14:paraId="72C936CE" w14:textId="77777777" w:rsidR="00E349FB" w:rsidRPr="002740B8" w:rsidRDefault="00E349FB" w:rsidP="00E349FB">
            <w:pPr>
              <w:pStyle w:val="Nessunaspaziatura"/>
              <w:numPr>
                <w:ilvl w:val="0"/>
                <w:numId w:val="2"/>
              </w:numPr>
            </w:pPr>
            <w:r w:rsidRPr="002740B8">
              <w:t xml:space="preserve">Présentation des différents types de demandes et les formulaires correspondants (concept note, PPF, </w:t>
            </w:r>
            <w:proofErr w:type="spellStart"/>
            <w:proofErr w:type="gramStart"/>
            <w:r w:rsidRPr="002740B8">
              <w:t>funding</w:t>
            </w:r>
            <w:proofErr w:type="spellEnd"/>
            <w:r w:rsidRPr="002740B8">
              <w:t xml:space="preserve">  </w:t>
            </w:r>
            <w:proofErr w:type="spellStart"/>
            <w:r w:rsidRPr="002740B8">
              <w:t>proposal</w:t>
            </w:r>
            <w:proofErr w:type="spellEnd"/>
            <w:proofErr w:type="gramEnd"/>
            <w:r w:rsidRPr="002740B8">
              <w:t xml:space="preserve"> ,SAP, , </w:t>
            </w:r>
            <w:proofErr w:type="spellStart"/>
            <w:r w:rsidRPr="002740B8">
              <w:t>Readiness</w:t>
            </w:r>
            <w:proofErr w:type="spellEnd"/>
            <w:r w:rsidRPr="002740B8">
              <w:t xml:space="preserve"> </w:t>
            </w:r>
            <w:r w:rsidR="00377C1C" w:rsidRPr="002740B8">
              <w:t>…</w:t>
            </w:r>
            <w:r w:rsidRPr="002740B8">
              <w:t>)</w:t>
            </w:r>
          </w:p>
          <w:p w14:paraId="2C48740C" w14:textId="77777777" w:rsidR="00E349FB" w:rsidRPr="002740B8" w:rsidRDefault="00E349FB" w:rsidP="002740B8">
            <w:pPr>
              <w:pStyle w:val="Nessunaspaziatura"/>
              <w:numPr>
                <w:ilvl w:val="0"/>
                <w:numId w:val="2"/>
              </w:numPr>
            </w:pPr>
            <w:r w:rsidRPr="002740B8">
              <w:t>Présentation du mécanisme « </w:t>
            </w:r>
            <w:proofErr w:type="spellStart"/>
            <w:r w:rsidRPr="002740B8">
              <w:t>Private</w:t>
            </w:r>
            <w:proofErr w:type="spellEnd"/>
            <w:r w:rsidRPr="002740B8">
              <w:t xml:space="preserve"> </w:t>
            </w:r>
            <w:proofErr w:type="spellStart"/>
            <w:r w:rsidRPr="002740B8">
              <w:t>Sector</w:t>
            </w:r>
            <w:proofErr w:type="spellEnd"/>
            <w:r w:rsidRPr="002740B8">
              <w:t xml:space="preserve"> Facility » du FVC    </w:t>
            </w:r>
          </w:p>
          <w:p w14:paraId="3F064E81" w14:textId="7BBB6EFE" w:rsidR="00FE3AD0" w:rsidRDefault="00E349FB" w:rsidP="002740B8">
            <w:pPr>
              <w:pStyle w:val="Nessunaspaziatura"/>
              <w:numPr>
                <w:ilvl w:val="0"/>
                <w:numId w:val="2"/>
              </w:numPr>
            </w:pPr>
            <w:r w:rsidRPr="002740B8">
              <w:t xml:space="preserve">Présentation de cas pratiques avec des projets « </w:t>
            </w:r>
            <w:proofErr w:type="spellStart"/>
            <w:r w:rsidRPr="002740B8">
              <w:t>private</w:t>
            </w:r>
            <w:proofErr w:type="spellEnd"/>
            <w:r w:rsidRPr="002740B8">
              <w:t xml:space="preserve"> </w:t>
            </w:r>
            <w:proofErr w:type="spellStart"/>
            <w:r w:rsidRPr="002740B8">
              <w:t>sector</w:t>
            </w:r>
            <w:proofErr w:type="spellEnd"/>
            <w:r w:rsidRPr="002740B8">
              <w:t xml:space="preserve"> </w:t>
            </w:r>
            <w:proofErr w:type="spellStart"/>
            <w:r w:rsidRPr="002740B8">
              <w:t>projects</w:t>
            </w:r>
            <w:proofErr w:type="spellEnd"/>
            <w:r w:rsidRPr="002740B8">
              <w:t xml:space="preserve"> » financés par le FVC</w:t>
            </w:r>
            <w:r w:rsidR="002740B8" w:rsidRPr="002740B8">
              <w:t xml:space="preserve"> </w:t>
            </w:r>
            <w:r w:rsidRPr="002740B8">
              <w:t>pour com</w:t>
            </w:r>
            <w:r w:rsidR="00FE3AD0" w:rsidRPr="002740B8">
              <w:t xml:space="preserve">prendre les éléments nécessaires à la  formulation de projets d’atténuation et  d’adaptation éligibles au FVC avec la présentation </w:t>
            </w:r>
          </w:p>
        </w:tc>
      </w:tr>
      <w:tr w:rsidR="00E44E0D" w14:paraId="5278C537" w14:textId="77777777" w:rsidTr="001B470D">
        <w:trPr>
          <w:trHeight w:val="312"/>
        </w:trPr>
        <w:tc>
          <w:tcPr>
            <w:tcW w:w="1696" w:type="dxa"/>
            <w:shd w:val="clear" w:color="auto" w:fill="DEEAF6"/>
          </w:tcPr>
          <w:p w14:paraId="12555DA5" w14:textId="77777777" w:rsidR="00E44E0D" w:rsidRPr="005E3380" w:rsidRDefault="00E44E0D" w:rsidP="001B470D">
            <w:pPr>
              <w:tabs>
                <w:tab w:val="left" w:pos="538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5E3380">
              <w:rPr>
                <w:rFonts w:ascii="Times New Roman" w:hAnsi="Times New Roman"/>
                <w:b/>
                <w:szCs w:val="24"/>
              </w:rPr>
              <w:t>10:45 – 11:00</w:t>
            </w:r>
          </w:p>
        </w:tc>
        <w:tc>
          <w:tcPr>
            <w:tcW w:w="7366" w:type="dxa"/>
            <w:shd w:val="clear" w:color="auto" w:fill="E7E6E6"/>
          </w:tcPr>
          <w:p w14:paraId="6FF62F12" w14:textId="77777777" w:rsidR="00E44E0D" w:rsidRPr="005E3380" w:rsidRDefault="00E44E0D" w:rsidP="001B470D">
            <w:pPr>
              <w:tabs>
                <w:tab w:val="left" w:pos="5385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E3380">
              <w:rPr>
                <w:rFonts w:ascii="Times New Roman" w:hAnsi="Times New Roman"/>
                <w:b/>
                <w:sz w:val="24"/>
                <w:szCs w:val="24"/>
              </w:rPr>
              <w:t>PAUSE CAFE</w:t>
            </w:r>
          </w:p>
        </w:tc>
      </w:tr>
      <w:tr w:rsidR="00E44E0D" w14:paraId="7FB7F8A0" w14:textId="77777777" w:rsidTr="001B470D">
        <w:trPr>
          <w:trHeight w:val="632"/>
        </w:trPr>
        <w:tc>
          <w:tcPr>
            <w:tcW w:w="1696" w:type="dxa"/>
            <w:shd w:val="clear" w:color="auto" w:fill="DEEAF6"/>
          </w:tcPr>
          <w:p w14:paraId="7E32BC99" w14:textId="77777777" w:rsidR="00E44E0D" w:rsidRPr="005E3380" w:rsidRDefault="00E44E0D" w:rsidP="001B470D">
            <w:pPr>
              <w:tabs>
                <w:tab w:val="left" w:pos="5385"/>
              </w:tabs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7B7A2FD1" w14:textId="77777777" w:rsidR="00E44E0D" w:rsidRPr="005E3380" w:rsidRDefault="00FE3AD0" w:rsidP="001B470D">
            <w:pPr>
              <w:tabs>
                <w:tab w:val="left" w:pos="538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11:00 - 12:3</w:t>
            </w:r>
            <w:r w:rsidR="00E44E0D" w:rsidRPr="005E3380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366" w:type="dxa"/>
          </w:tcPr>
          <w:p w14:paraId="1989570B" w14:textId="294309E1" w:rsidR="00E349FB" w:rsidRDefault="00E349FB" w:rsidP="00E349FB">
            <w:pPr>
              <w:pStyle w:val="Nessunaspaziatura"/>
              <w:numPr>
                <w:ilvl w:val="0"/>
                <w:numId w:val="3"/>
              </w:numPr>
            </w:pPr>
            <w:r w:rsidRPr="002740B8">
              <w:t xml:space="preserve">Focus sur les éléments clés de développement de projets bancables </w:t>
            </w:r>
            <w:r>
              <w:t xml:space="preserve"> </w:t>
            </w:r>
          </w:p>
          <w:p w14:paraId="44DD0D0C" w14:textId="77777777" w:rsidR="00E349FB" w:rsidRDefault="00E349FB" w:rsidP="002740B8">
            <w:pPr>
              <w:pStyle w:val="Nessunaspaziatura"/>
              <w:numPr>
                <w:ilvl w:val="0"/>
                <w:numId w:val="3"/>
              </w:numPr>
            </w:pPr>
            <w:r w:rsidRPr="00FE3AD0">
              <w:t xml:space="preserve">Passer en revue les différents critères d’évaluation et leur application dans des projets existants </w:t>
            </w:r>
          </w:p>
          <w:p w14:paraId="6F4A6D35" w14:textId="77777777" w:rsidR="00377C1C" w:rsidRDefault="00377C1C" w:rsidP="00377C1C">
            <w:pPr>
              <w:pStyle w:val="Nessunaspaziatura"/>
              <w:numPr>
                <w:ilvl w:val="0"/>
                <w:numId w:val="3"/>
              </w:numPr>
            </w:pPr>
            <w:r>
              <w:t>Passer en revue la proposition du cadre national d’évaluation des projets soumis pour non objection</w:t>
            </w:r>
          </w:p>
          <w:p w14:paraId="154C8105" w14:textId="77777777" w:rsidR="00377C1C" w:rsidRDefault="00377C1C" w:rsidP="002740B8">
            <w:pPr>
              <w:pStyle w:val="Nessunaspaziatura"/>
              <w:numPr>
                <w:ilvl w:val="0"/>
                <w:numId w:val="5"/>
              </w:numPr>
            </w:pPr>
            <w:proofErr w:type="gramStart"/>
            <w:r>
              <w:t>faire</w:t>
            </w:r>
            <w:proofErr w:type="gramEnd"/>
            <w:r>
              <w:t xml:space="preserve"> le lien entre les critères du FVC et ceux proposés dans le cadre national d’évaluation des projets soumis au FVC.</w:t>
            </w:r>
          </w:p>
          <w:p w14:paraId="32FE4C8C" w14:textId="77777777" w:rsidR="00FE3AD0" w:rsidRPr="00FE3AD0" w:rsidRDefault="00FE3AD0" w:rsidP="002740B8">
            <w:pPr>
              <w:pStyle w:val="Nessunaspaziatura"/>
              <w:numPr>
                <w:ilvl w:val="0"/>
                <w:numId w:val="5"/>
              </w:numPr>
            </w:pPr>
            <w:r w:rsidRPr="00FE3AD0">
              <w:t xml:space="preserve">Analyser concrètement des projets à soumettre au FVC pour comprendre les éléments nécessaires à insérer dans un Template </w:t>
            </w:r>
            <w:r>
              <w:t>(</w:t>
            </w:r>
            <w:r w:rsidRPr="00FE3AD0">
              <w:t>Analyser et identifier les indicateurs climatiques dans la rédaction d’un projet à soumettre pour le FVC)</w:t>
            </w:r>
          </w:p>
          <w:p w14:paraId="60CB6562" w14:textId="7CFAB308" w:rsidR="00FE3AD0" w:rsidRDefault="00FE3AD0" w:rsidP="002740B8">
            <w:pPr>
              <w:pStyle w:val="Nessunaspaziatura"/>
              <w:numPr>
                <w:ilvl w:val="0"/>
                <w:numId w:val="5"/>
              </w:numPr>
            </w:pPr>
            <w:r w:rsidRPr="00FE3AD0">
              <w:t xml:space="preserve">Passer en revue les différents critères d’évaluation et leur application dans des projets existants : (i) impact </w:t>
            </w:r>
            <w:proofErr w:type="spellStart"/>
            <w:r w:rsidRPr="00FE3AD0">
              <w:t>potential</w:t>
            </w:r>
            <w:proofErr w:type="spellEnd"/>
            <w:r w:rsidRPr="00FE3AD0">
              <w:t xml:space="preserve"> ; (ii) </w:t>
            </w:r>
            <w:proofErr w:type="spellStart"/>
            <w:r w:rsidRPr="00FE3AD0">
              <w:t>paradigm</w:t>
            </w:r>
            <w:proofErr w:type="spellEnd"/>
            <w:r w:rsidRPr="00FE3AD0">
              <w:t xml:space="preserve"> shift </w:t>
            </w:r>
            <w:proofErr w:type="spellStart"/>
            <w:r w:rsidRPr="00FE3AD0">
              <w:t>potential</w:t>
            </w:r>
            <w:proofErr w:type="spellEnd"/>
            <w:r w:rsidRPr="00FE3AD0">
              <w:t xml:space="preserve"> ; (iii) </w:t>
            </w:r>
            <w:proofErr w:type="spellStart"/>
            <w:r w:rsidRPr="00FE3AD0">
              <w:t>sustainable</w:t>
            </w:r>
            <w:proofErr w:type="spellEnd"/>
            <w:r w:rsidRPr="00FE3AD0">
              <w:t xml:space="preserve"> </w:t>
            </w:r>
            <w:proofErr w:type="spellStart"/>
            <w:r w:rsidRPr="00FE3AD0">
              <w:t>development</w:t>
            </w:r>
            <w:proofErr w:type="spellEnd"/>
            <w:r w:rsidRPr="00FE3AD0">
              <w:t xml:space="preserve"> </w:t>
            </w:r>
            <w:proofErr w:type="spellStart"/>
            <w:r w:rsidRPr="00FE3AD0">
              <w:t>potential</w:t>
            </w:r>
            <w:proofErr w:type="spellEnd"/>
            <w:r w:rsidRPr="00FE3AD0">
              <w:t xml:space="preserve"> ; (iv) responsive to </w:t>
            </w:r>
            <w:proofErr w:type="spellStart"/>
            <w:r w:rsidRPr="00FE3AD0">
              <w:t>receipt’s</w:t>
            </w:r>
            <w:proofErr w:type="spellEnd"/>
            <w:r w:rsidRPr="00FE3AD0">
              <w:t xml:space="preserve"> </w:t>
            </w:r>
            <w:proofErr w:type="spellStart"/>
            <w:r w:rsidRPr="00FE3AD0">
              <w:t>needs</w:t>
            </w:r>
            <w:proofErr w:type="spellEnd"/>
            <w:r w:rsidRPr="00FE3AD0">
              <w:t xml:space="preserve"> ; (v) </w:t>
            </w:r>
            <w:proofErr w:type="spellStart"/>
            <w:r w:rsidRPr="00FE3AD0">
              <w:t>promote</w:t>
            </w:r>
            <w:proofErr w:type="spellEnd"/>
            <w:r w:rsidRPr="00FE3AD0">
              <w:t xml:space="preserve"> country </w:t>
            </w:r>
            <w:proofErr w:type="spellStart"/>
            <w:r w:rsidRPr="00FE3AD0">
              <w:t>ownership</w:t>
            </w:r>
            <w:proofErr w:type="spellEnd"/>
            <w:r w:rsidRPr="00FE3AD0">
              <w:t xml:space="preserve"> ; (vi) </w:t>
            </w:r>
            <w:proofErr w:type="spellStart"/>
            <w:r w:rsidRPr="00FE3AD0">
              <w:t>efficiency</w:t>
            </w:r>
            <w:proofErr w:type="spellEnd"/>
            <w:r w:rsidRPr="00FE3AD0">
              <w:t xml:space="preserve"> and </w:t>
            </w:r>
            <w:proofErr w:type="spellStart"/>
            <w:r w:rsidRPr="00FE3AD0">
              <w:t>effectiveness</w:t>
            </w:r>
            <w:proofErr w:type="spellEnd"/>
            <w:r w:rsidRPr="00FE3AD0">
              <w:t xml:space="preserve"> ;</w:t>
            </w:r>
          </w:p>
          <w:p w14:paraId="10C8BAEE" w14:textId="38B33756" w:rsidR="00E44E0D" w:rsidRPr="005E3380" w:rsidRDefault="00FE3AD0" w:rsidP="002740B8">
            <w:pPr>
              <w:pStyle w:val="Nessunaspaziatura"/>
            </w:pPr>
            <w:r w:rsidRPr="00FE3AD0">
              <w:tab/>
            </w:r>
          </w:p>
        </w:tc>
      </w:tr>
      <w:tr w:rsidR="00E44E0D" w14:paraId="3A772C39" w14:textId="77777777" w:rsidTr="001B470D">
        <w:trPr>
          <w:trHeight w:val="632"/>
        </w:trPr>
        <w:tc>
          <w:tcPr>
            <w:tcW w:w="1696" w:type="dxa"/>
            <w:shd w:val="clear" w:color="auto" w:fill="DEEAF6"/>
          </w:tcPr>
          <w:p w14:paraId="4FCA0CDB" w14:textId="77777777" w:rsidR="00E44E0D" w:rsidRPr="005E3380" w:rsidRDefault="00FE3AD0" w:rsidP="001B470D">
            <w:pPr>
              <w:tabs>
                <w:tab w:val="left" w:pos="538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12:30–13:00</w:t>
            </w:r>
          </w:p>
        </w:tc>
        <w:tc>
          <w:tcPr>
            <w:tcW w:w="7366" w:type="dxa"/>
          </w:tcPr>
          <w:p w14:paraId="155C1BC8" w14:textId="77777777" w:rsidR="00E44E0D" w:rsidRDefault="00E44E0D" w:rsidP="00FE3AD0">
            <w:pPr>
              <w:tabs>
                <w:tab w:val="left" w:pos="5385"/>
              </w:tabs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E33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Discussions et échanges</w:t>
            </w:r>
          </w:p>
          <w:p w14:paraId="09A2828E" w14:textId="77777777" w:rsidR="00FE3AD0" w:rsidRPr="005E3380" w:rsidRDefault="00FE3AD0" w:rsidP="00FE3AD0">
            <w:pPr>
              <w:tabs>
                <w:tab w:val="left" w:pos="5385"/>
              </w:tabs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E3AD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Recommandions et clôture</w:t>
            </w:r>
          </w:p>
        </w:tc>
      </w:tr>
      <w:tr w:rsidR="00E44E0D" w14:paraId="12F8CCFD" w14:textId="77777777" w:rsidTr="001B470D">
        <w:trPr>
          <w:trHeight w:val="394"/>
        </w:trPr>
        <w:tc>
          <w:tcPr>
            <w:tcW w:w="1696" w:type="dxa"/>
            <w:shd w:val="clear" w:color="auto" w:fill="DEEAF6"/>
          </w:tcPr>
          <w:p w14:paraId="08E847C0" w14:textId="77777777" w:rsidR="00E44E0D" w:rsidRPr="005E3380" w:rsidRDefault="00FE3AD0" w:rsidP="001B470D">
            <w:pPr>
              <w:tabs>
                <w:tab w:val="left" w:pos="538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13 : 00 – 14</w:t>
            </w:r>
            <w:r w:rsidR="00E44E0D" w:rsidRPr="005E3380">
              <w:rPr>
                <w:rFonts w:ascii="Times New Roman" w:hAnsi="Times New Roman"/>
                <w:b/>
                <w:szCs w:val="24"/>
              </w:rPr>
              <w:t> : 00</w:t>
            </w:r>
          </w:p>
        </w:tc>
        <w:tc>
          <w:tcPr>
            <w:tcW w:w="7366" w:type="dxa"/>
            <w:shd w:val="clear" w:color="auto" w:fill="E7E6E6"/>
          </w:tcPr>
          <w:p w14:paraId="52153756" w14:textId="77777777" w:rsidR="00E44E0D" w:rsidRPr="005E3380" w:rsidRDefault="00E44E0D" w:rsidP="001B470D">
            <w:pPr>
              <w:tabs>
                <w:tab w:val="left" w:pos="5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80">
              <w:rPr>
                <w:rFonts w:ascii="Times New Roman" w:hAnsi="Times New Roman"/>
                <w:b/>
                <w:sz w:val="24"/>
                <w:szCs w:val="24"/>
              </w:rPr>
              <w:t>PAUSE DEJEUNER</w:t>
            </w:r>
          </w:p>
        </w:tc>
      </w:tr>
    </w:tbl>
    <w:p w14:paraId="6DDCCB37" w14:textId="77777777" w:rsidR="00C07614" w:rsidRDefault="00C07614"/>
    <w:sectPr w:rsidR="00C07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B8F"/>
    <w:multiLevelType w:val="hybridMultilevel"/>
    <w:tmpl w:val="BC4A0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BB2"/>
    <w:multiLevelType w:val="hybridMultilevel"/>
    <w:tmpl w:val="50121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0D34"/>
    <w:multiLevelType w:val="hybridMultilevel"/>
    <w:tmpl w:val="57827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6D84"/>
    <w:multiLevelType w:val="hybridMultilevel"/>
    <w:tmpl w:val="81B6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59CD"/>
    <w:multiLevelType w:val="hybridMultilevel"/>
    <w:tmpl w:val="89EA5E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0D"/>
    <w:rsid w:val="002740B8"/>
    <w:rsid w:val="00377C1C"/>
    <w:rsid w:val="004F01FD"/>
    <w:rsid w:val="00502B01"/>
    <w:rsid w:val="00542EEA"/>
    <w:rsid w:val="0070675F"/>
    <w:rsid w:val="008850C5"/>
    <w:rsid w:val="00C07614"/>
    <w:rsid w:val="00C3247A"/>
    <w:rsid w:val="00E349FB"/>
    <w:rsid w:val="00E44E0D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7D78"/>
  <w15:chartTrackingRefBased/>
  <w15:docId w15:val="{73D0A779-5E11-4117-8E9F-447FA6E7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E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1,Colorful List - Accent 11,Medium Grid 1 - Accent 21,List Paragraph (numbered (a)),List Paragraph nowy,Puce,123 List Paragraph,List_Paragraph,Multilevel para_II,Tableau Adere,Bullets"/>
    <w:basedOn w:val="Normale"/>
    <w:link w:val="ParagrafoelencoCarattere"/>
    <w:uiPriority w:val="34"/>
    <w:qFormat/>
    <w:rsid w:val="00E44E0D"/>
    <w:pPr>
      <w:ind w:left="720"/>
      <w:contextualSpacing/>
    </w:pPr>
    <w:rPr>
      <w:sz w:val="20"/>
      <w:szCs w:val="20"/>
      <w:lang w:eastAsia="x-none"/>
    </w:rPr>
  </w:style>
  <w:style w:type="character" w:customStyle="1" w:styleId="ParagrafoelencoCarattere">
    <w:name w:val="Paragrafo elenco Carattere"/>
    <w:aliases w:val="List Paragraph1 Carattere,Colorful List - Accent 11 Carattere,Medium Grid 1 - Accent 21 Carattere,List Paragraph (numbered (a)) Carattere,List Paragraph nowy Carattere,Puce Carattere,123 List Paragraph Carattere"/>
    <w:link w:val="Paragrafoelenco"/>
    <w:uiPriority w:val="34"/>
    <w:locked/>
    <w:rsid w:val="00E44E0D"/>
    <w:rPr>
      <w:rFonts w:ascii="Calibri" w:eastAsia="Calibri" w:hAnsi="Calibri" w:cs="Times New Roman"/>
      <w:sz w:val="20"/>
      <w:szCs w:val="20"/>
      <w:lang w:eastAsia="x-none"/>
    </w:rPr>
  </w:style>
  <w:style w:type="paragraph" w:styleId="Nessunaspaziatura">
    <w:name w:val="No Spacing"/>
    <w:uiPriority w:val="1"/>
    <w:qFormat/>
    <w:rsid w:val="00FE3AD0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9FB"/>
    <w:rPr>
      <w:rFonts w:ascii="Segoe UI" w:eastAsia="Calibr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324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24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247A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24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247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2018-04-25T18:16:00Z</dcterms:created>
  <dcterms:modified xsi:type="dcterms:W3CDTF">2018-04-25T18:16:00Z</dcterms:modified>
</cp:coreProperties>
</file>